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250" w:type="dxa"/>
        <w:tblLook w:val="04A0"/>
      </w:tblPr>
      <w:tblGrid>
        <w:gridCol w:w="5670"/>
        <w:gridCol w:w="3544"/>
      </w:tblGrid>
      <w:tr w:rsidR="00E5006F" w:rsidRPr="00E83EC4" w:rsidTr="002F43F0">
        <w:tc>
          <w:tcPr>
            <w:tcW w:w="5670" w:type="dxa"/>
            <w:shd w:val="clear" w:color="auto" w:fill="auto"/>
          </w:tcPr>
          <w:p w:rsidR="00E5006F" w:rsidRPr="00E83EC4" w:rsidRDefault="00E5006F" w:rsidP="00E83EC4">
            <w:pPr>
              <w:spacing w:before="100" w:beforeAutospacing="1" w:after="100" w:afterAutospacing="1" w:line="240" w:lineRule="auto"/>
              <w:jc w:val="both"/>
              <w:rPr>
                <w:rFonts w:ascii="Candara" w:hAnsi="Candara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5006F" w:rsidRPr="00E83EC4" w:rsidRDefault="00E5006F" w:rsidP="00E83EC4">
            <w:pPr>
              <w:spacing w:before="100" w:beforeAutospacing="1" w:after="100" w:afterAutospacing="1" w:line="240" w:lineRule="auto"/>
              <w:jc w:val="both"/>
              <w:rPr>
                <w:rFonts w:ascii="Candara" w:hAnsi="Candara" w:cs="Calibri"/>
                <w:b/>
                <w:color w:val="00000A"/>
                <w:sz w:val="24"/>
                <w:szCs w:val="24"/>
                <w:lang w:eastAsia="el-GR"/>
              </w:rPr>
            </w:pPr>
          </w:p>
        </w:tc>
      </w:tr>
    </w:tbl>
    <w:p w:rsidR="00EF3E2A" w:rsidRDefault="00EF3E2A" w:rsidP="00EF3E2A">
      <w:pPr>
        <w:pStyle w:val="Web"/>
        <w:spacing w:before="0" w:beforeAutospacing="0" w:after="0" w:afterAutospacing="0" w:line="360" w:lineRule="auto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6850" cy="1666875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4A0"/>
      </w:tblPr>
      <w:tblGrid>
        <w:gridCol w:w="4634"/>
        <w:gridCol w:w="4643"/>
      </w:tblGrid>
      <w:tr w:rsidR="00EF3E2A" w:rsidTr="001331C4">
        <w:trPr>
          <w:trHeight w:val="3526"/>
        </w:trPr>
        <w:tc>
          <w:tcPr>
            <w:tcW w:w="4634" w:type="dxa"/>
            <w:hideMark/>
          </w:tcPr>
          <w:p w:rsidR="00EF3E2A" w:rsidRPr="00CF0BE4" w:rsidRDefault="00EF3E2A" w:rsidP="00516B6E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n-US"/>
              </w:rPr>
            </w:pPr>
            <w:bookmarkStart w:id="0" w:name="_GoBack"/>
            <w:bookmarkEnd w:id="0"/>
            <w:r>
              <w:rPr>
                <w:rFonts w:ascii="Candara" w:hAnsi="Candara" w:cs="Times New Roman"/>
                <w:lang w:val="el-GR"/>
              </w:rPr>
              <w:t>Αρ. Πρωτ.</w:t>
            </w:r>
            <w:r w:rsidR="002645E2">
              <w:rPr>
                <w:rFonts w:ascii="Candara" w:hAnsi="Candara" w:cs="Times New Roman"/>
                <w:lang w:val="en-US"/>
              </w:rPr>
              <w:t>946</w:t>
            </w:r>
            <w:r>
              <w:rPr>
                <w:rFonts w:ascii="Candara" w:hAnsi="Candara" w:cs="Times New Roman"/>
                <w:lang w:val="el-GR"/>
              </w:rPr>
              <w:t xml:space="preserve"> </w:t>
            </w:r>
          </w:p>
        </w:tc>
        <w:tc>
          <w:tcPr>
            <w:tcW w:w="4643" w:type="dxa"/>
            <w:hideMark/>
          </w:tcPr>
          <w:p w:rsidR="00EF3E2A" w:rsidRDefault="00EF3E2A" w:rsidP="00516B6E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Αθήνα </w:t>
            </w:r>
            <w:r w:rsidR="00D15FFF">
              <w:rPr>
                <w:rFonts w:ascii="Candara" w:hAnsi="Candara"/>
              </w:rPr>
              <w:t>1</w:t>
            </w:r>
            <w:r>
              <w:rPr>
                <w:rFonts w:ascii="Candara" w:hAnsi="Candara"/>
              </w:rPr>
              <w:t>8/</w:t>
            </w:r>
            <w:r w:rsidR="00D15FFF">
              <w:rPr>
                <w:rFonts w:ascii="Candara" w:hAnsi="Candara"/>
              </w:rPr>
              <w:t>9</w:t>
            </w:r>
            <w:r>
              <w:rPr>
                <w:rFonts w:ascii="Candara" w:hAnsi="Candara"/>
              </w:rPr>
              <w:t>/2020</w:t>
            </w:r>
          </w:p>
          <w:p w:rsidR="00D15FFF" w:rsidRDefault="00D15FFF" w:rsidP="00516B6E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Προς:</w:t>
            </w:r>
          </w:p>
          <w:p w:rsidR="00EF3E2A" w:rsidRDefault="00EF3E2A" w:rsidP="00516B6E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1. Την Υπουργό Παιδείας</w:t>
            </w:r>
          </w:p>
          <w:p w:rsidR="00EF3E2A" w:rsidRDefault="00EF3E2A" w:rsidP="00516B6E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κ. Νίκη </w:t>
            </w:r>
            <w:proofErr w:type="spellStart"/>
            <w:r>
              <w:rPr>
                <w:rFonts w:ascii="Candara" w:hAnsi="Candara"/>
              </w:rPr>
              <w:t>Κεραμέως</w:t>
            </w:r>
            <w:proofErr w:type="spellEnd"/>
            <w:r>
              <w:rPr>
                <w:rFonts w:ascii="Candara" w:hAnsi="Candara"/>
              </w:rPr>
              <w:t xml:space="preserve">   </w:t>
            </w:r>
          </w:p>
          <w:p w:rsidR="00EF3E2A" w:rsidRDefault="00EF3E2A" w:rsidP="00516B6E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 Την Υφυπουργό Παιδείας</w:t>
            </w:r>
          </w:p>
          <w:p w:rsidR="00EF3E2A" w:rsidRDefault="00EF3E2A" w:rsidP="00516B6E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κ. Σοφία Ζαχαράκη </w:t>
            </w:r>
          </w:p>
          <w:p w:rsidR="00EF3E2A" w:rsidRDefault="00EF3E2A" w:rsidP="00EF3E2A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EF3E2A">
              <w:rPr>
                <w:rFonts w:ascii="Candara" w:hAnsi="Candara"/>
              </w:rPr>
              <w:t xml:space="preserve">3. </w:t>
            </w:r>
            <w:r>
              <w:rPr>
                <w:rFonts w:ascii="Candara" w:hAnsi="Candara"/>
              </w:rPr>
              <w:t xml:space="preserve">Τους Συλλόγους Εκπαιδευτικών Π.Ε. </w:t>
            </w:r>
          </w:p>
          <w:p w:rsidR="00D15FFF" w:rsidRDefault="00D15FFF" w:rsidP="00EF3E2A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Κοιν</w:t>
            </w:r>
            <w:proofErr w:type="spellEnd"/>
            <w:r>
              <w:rPr>
                <w:rFonts w:ascii="Candara" w:hAnsi="Candara"/>
              </w:rPr>
              <w:t>:</w:t>
            </w:r>
          </w:p>
          <w:p w:rsidR="00D15FFF" w:rsidRDefault="002645E2" w:rsidP="002645E2">
            <w:pPr>
              <w:pStyle w:val="a4"/>
              <w:shd w:val="clear" w:color="auto" w:fill="FFFFFF"/>
              <w:spacing w:after="0"/>
              <w:ind w:left="44"/>
              <w:jc w:val="both"/>
              <w:rPr>
                <w:rFonts w:ascii="Candara" w:hAnsi="Candara"/>
              </w:rPr>
            </w:pPr>
            <w:r w:rsidRPr="002645E2">
              <w:rPr>
                <w:rFonts w:ascii="Candara" w:hAnsi="Candara"/>
              </w:rPr>
              <w:t>1.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="00D15FFF">
              <w:rPr>
                <w:rFonts w:ascii="Candara" w:hAnsi="Candara"/>
              </w:rPr>
              <w:t>Α.Δ.Ε.Δ.Υ.</w:t>
            </w:r>
          </w:p>
          <w:p w:rsidR="00D15FFF" w:rsidRPr="00D15FFF" w:rsidRDefault="002645E2" w:rsidP="002645E2">
            <w:pPr>
              <w:pStyle w:val="a4"/>
              <w:shd w:val="clear" w:color="auto" w:fill="FFFFFF"/>
              <w:spacing w:after="0"/>
              <w:ind w:left="44"/>
              <w:jc w:val="both"/>
              <w:rPr>
                <w:rFonts w:ascii="Candara" w:hAnsi="Candara"/>
              </w:rPr>
            </w:pPr>
            <w:r w:rsidRPr="002645E2">
              <w:rPr>
                <w:rFonts w:ascii="Candara" w:hAnsi="Candara"/>
              </w:rPr>
              <w:t xml:space="preserve">2. </w:t>
            </w:r>
            <w:r w:rsidR="00D15FFF">
              <w:rPr>
                <w:rFonts w:ascii="Candara" w:hAnsi="Candara"/>
              </w:rPr>
              <w:t>Ο.Λ.Μ.Ε.</w:t>
            </w:r>
          </w:p>
        </w:tc>
      </w:tr>
    </w:tbl>
    <w:p w:rsidR="008414CC" w:rsidRPr="0010220A" w:rsidRDefault="00E83EC4" w:rsidP="00E83EC4">
      <w:pPr>
        <w:jc w:val="both"/>
        <w:rPr>
          <w:rFonts w:ascii="Candara" w:hAnsi="Candara"/>
          <w:b/>
          <w:sz w:val="24"/>
          <w:szCs w:val="24"/>
        </w:rPr>
      </w:pPr>
      <w:r w:rsidRPr="0010220A">
        <w:rPr>
          <w:rFonts w:ascii="Candara" w:hAnsi="Candara"/>
          <w:b/>
          <w:sz w:val="24"/>
          <w:szCs w:val="24"/>
        </w:rPr>
        <w:t xml:space="preserve">Θέμα: </w:t>
      </w:r>
      <w:r w:rsidR="00D15FFF">
        <w:rPr>
          <w:rFonts w:ascii="Candara" w:hAnsi="Candara"/>
          <w:b/>
          <w:sz w:val="24"/>
          <w:szCs w:val="24"/>
        </w:rPr>
        <w:t xml:space="preserve">Κατάθεση αίτησης ακύρωσης από τη Δ.Ο.Ε. στο </w:t>
      </w:r>
      <w:proofErr w:type="spellStart"/>
      <w:r w:rsidR="00D15FFF">
        <w:rPr>
          <w:rFonts w:ascii="Candara" w:hAnsi="Candara"/>
          <w:b/>
          <w:sz w:val="24"/>
          <w:szCs w:val="24"/>
        </w:rPr>
        <w:t>ΣτΕ</w:t>
      </w:r>
      <w:proofErr w:type="spellEnd"/>
      <w:r w:rsidR="00D15FFF">
        <w:rPr>
          <w:rFonts w:ascii="Candara" w:hAnsi="Candara"/>
          <w:b/>
          <w:sz w:val="24"/>
          <w:szCs w:val="24"/>
        </w:rPr>
        <w:t xml:space="preserve"> για την εγκύκλιο</w:t>
      </w:r>
      <w:r w:rsidR="009E0D3D" w:rsidRPr="0010220A">
        <w:rPr>
          <w:rFonts w:ascii="Candara" w:hAnsi="Candara"/>
          <w:b/>
          <w:sz w:val="24"/>
          <w:szCs w:val="24"/>
        </w:rPr>
        <w:t xml:space="preserve"> </w:t>
      </w:r>
      <w:r w:rsidR="0010220A" w:rsidRPr="0010220A">
        <w:rPr>
          <w:rFonts w:ascii="Candara" w:hAnsi="Candara"/>
          <w:b/>
          <w:sz w:val="24"/>
          <w:szCs w:val="24"/>
        </w:rPr>
        <w:t xml:space="preserve">του Υ.ΠΑΙ.Θ. </w:t>
      </w:r>
      <w:r w:rsidR="009E0D3D" w:rsidRPr="0010220A">
        <w:rPr>
          <w:rFonts w:ascii="Candara" w:hAnsi="Candara"/>
          <w:b/>
          <w:sz w:val="24"/>
          <w:szCs w:val="24"/>
        </w:rPr>
        <w:t>για τις άδειε</w:t>
      </w:r>
      <w:r w:rsidR="002F43F0" w:rsidRPr="0010220A">
        <w:rPr>
          <w:rFonts w:ascii="Candara" w:hAnsi="Candara"/>
          <w:b/>
          <w:sz w:val="24"/>
          <w:szCs w:val="24"/>
        </w:rPr>
        <w:t xml:space="preserve">ς ανατροφής </w:t>
      </w:r>
      <w:r w:rsidR="00DD0A3C">
        <w:rPr>
          <w:rFonts w:ascii="Candara" w:hAnsi="Candara"/>
          <w:b/>
          <w:sz w:val="24"/>
          <w:szCs w:val="24"/>
        </w:rPr>
        <w:t>των νεοδιοριζόμενων εκπαιδευτικών</w:t>
      </w:r>
      <w:r w:rsidR="008F7253">
        <w:rPr>
          <w:rFonts w:ascii="Candara" w:hAnsi="Candara"/>
          <w:b/>
          <w:sz w:val="24"/>
          <w:szCs w:val="24"/>
        </w:rPr>
        <w:t xml:space="preserve"> και μελών Ε.Ε.Π. και Ε.Β.Π.</w:t>
      </w:r>
    </w:p>
    <w:p w:rsidR="00C2018E" w:rsidRDefault="008F7253" w:rsidP="00E83EC4">
      <w:pPr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Το Δ.Σ. της Δ.Ο.Ε. υλοποιώντας την από 28 Αυγούστου απόφασή του για </w:t>
      </w:r>
      <w:r w:rsidR="009B7F14">
        <w:rPr>
          <w:rFonts w:ascii="Candara" w:hAnsi="Candara"/>
          <w:sz w:val="24"/>
          <w:szCs w:val="24"/>
        </w:rPr>
        <w:t xml:space="preserve">δικαστική προσβολή </w:t>
      </w:r>
      <w:r>
        <w:rPr>
          <w:rFonts w:ascii="Candara" w:hAnsi="Candara"/>
          <w:sz w:val="24"/>
          <w:szCs w:val="24"/>
        </w:rPr>
        <w:t>(</w:t>
      </w:r>
      <w:r w:rsidRPr="008F7253">
        <w:rPr>
          <w:rFonts w:ascii="Candara" w:hAnsi="Candara"/>
          <w:sz w:val="24"/>
          <w:szCs w:val="24"/>
        </w:rPr>
        <w:t>για την αποφυγή οικονομικής επιβάρυνσης των ενδιαφερόμενων συναδέλφων</w:t>
      </w:r>
      <w:r>
        <w:rPr>
          <w:rFonts w:ascii="Candara" w:hAnsi="Candara"/>
          <w:sz w:val="24"/>
          <w:szCs w:val="24"/>
        </w:rPr>
        <w:t xml:space="preserve">), προχώρησε την Τετάρτη </w:t>
      </w:r>
      <w:r w:rsidR="00C2018E">
        <w:rPr>
          <w:rFonts w:ascii="Candara" w:hAnsi="Candara"/>
          <w:sz w:val="24"/>
          <w:szCs w:val="24"/>
        </w:rPr>
        <w:t xml:space="preserve">16 Σεπτεμβρίου στην κατάθεση αίτησης ακύρωσης κατά της εγκυκλίου του Υ.ΠΑΙ.Θ. </w:t>
      </w:r>
      <w:r w:rsidR="00C2018E" w:rsidRPr="00C2018E">
        <w:rPr>
          <w:rFonts w:ascii="Candara" w:hAnsi="Candara"/>
          <w:sz w:val="24"/>
          <w:szCs w:val="24"/>
        </w:rPr>
        <w:t>για τις άδειες ανατροφής των νεοδιοριζόμενων εκπαιδευτικών και μελών Ε.Ε.Π. και Ε.Β.Π.</w:t>
      </w:r>
      <w:r w:rsidR="00C2018E">
        <w:rPr>
          <w:rFonts w:ascii="Candara" w:hAnsi="Candara"/>
          <w:sz w:val="24"/>
          <w:szCs w:val="24"/>
        </w:rPr>
        <w:t xml:space="preserve">, στο </w:t>
      </w:r>
      <w:proofErr w:type="spellStart"/>
      <w:r w:rsidR="00C2018E">
        <w:rPr>
          <w:rFonts w:ascii="Candara" w:hAnsi="Candara"/>
          <w:sz w:val="24"/>
          <w:szCs w:val="24"/>
        </w:rPr>
        <w:t>ΣτΕ</w:t>
      </w:r>
      <w:proofErr w:type="spellEnd"/>
      <w:r w:rsidR="00C2018E">
        <w:rPr>
          <w:rFonts w:ascii="Candara" w:hAnsi="Candara"/>
          <w:sz w:val="24"/>
          <w:szCs w:val="24"/>
        </w:rPr>
        <w:t>.</w:t>
      </w:r>
    </w:p>
    <w:p w:rsidR="00E60F07" w:rsidRDefault="00C2018E" w:rsidP="00E83EC4">
      <w:pPr>
        <w:ind w:firstLine="720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Πέρα από την παραπάνω ενέργεια, </w:t>
      </w:r>
      <w:r w:rsidRPr="005C3F63">
        <w:rPr>
          <w:rFonts w:ascii="Candara" w:hAnsi="Candara"/>
          <w:b/>
          <w:sz w:val="24"/>
          <w:szCs w:val="24"/>
        </w:rPr>
        <w:t xml:space="preserve">το Δ.Σ. της Δ.Ο.Ε. επανέρχεται τονίζοντας προς την πολιτική ηγεσία του Υπουργείου Παιδείας, την κατάφωρα άδικη αντιμετώπιση που </w:t>
      </w:r>
      <w:r w:rsidR="005C3F63" w:rsidRPr="005C3F63">
        <w:rPr>
          <w:rFonts w:ascii="Candara" w:hAnsi="Candara"/>
          <w:b/>
          <w:sz w:val="24"/>
          <w:szCs w:val="24"/>
        </w:rPr>
        <w:t xml:space="preserve">τηρεί κατά των υπαλλήλων της αρμοδιότητάς του και </w:t>
      </w:r>
      <w:r w:rsidR="001C559F" w:rsidRPr="005C3F63">
        <w:rPr>
          <w:rFonts w:ascii="Candara" w:hAnsi="Candara"/>
          <w:b/>
          <w:sz w:val="24"/>
          <w:szCs w:val="24"/>
        </w:rPr>
        <w:t xml:space="preserve">απαιτεί από </w:t>
      </w:r>
      <w:r w:rsidR="005C3F63" w:rsidRPr="005C3F63">
        <w:rPr>
          <w:rFonts w:ascii="Candara" w:hAnsi="Candara"/>
          <w:b/>
          <w:sz w:val="24"/>
          <w:szCs w:val="24"/>
        </w:rPr>
        <w:t>αυτήν</w:t>
      </w:r>
      <w:r w:rsidR="00E60F07" w:rsidRPr="005C3F63">
        <w:rPr>
          <w:rFonts w:ascii="Candara" w:hAnsi="Candara"/>
          <w:b/>
          <w:sz w:val="24"/>
          <w:szCs w:val="24"/>
        </w:rPr>
        <w:t xml:space="preserve"> </w:t>
      </w:r>
      <w:r w:rsidR="001C559F" w:rsidRPr="005C3F63">
        <w:rPr>
          <w:rFonts w:ascii="Candara" w:hAnsi="Candara"/>
          <w:b/>
          <w:sz w:val="24"/>
          <w:szCs w:val="24"/>
        </w:rPr>
        <w:t xml:space="preserve">να προχωρήσει άμεσα στην ανάκληση της </w:t>
      </w:r>
      <w:r w:rsidR="00D676CD" w:rsidRPr="005C3F63">
        <w:rPr>
          <w:rFonts w:ascii="Candara" w:hAnsi="Candara"/>
          <w:b/>
          <w:sz w:val="24"/>
          <w:szCs w:val="24"/>
        </w:rPr>
        <w:t xml:space="preserve">συγκεκριμένης </w:t>
      </w:r>
      <w:r w:rsidR="001C559F" w:rsidRPr="005C3F63">
        <w:rPr>
          <w:rFonts w:ascii="Candara" w:hAnsi="Candara"/>
          <w:b/>
          <w:sz w:val="24"/>
          <w:szCs w:val="24"/>
        </w:rPr>
        <w:t>εγκυκλίου παρέχοντας</w:t>
      </w:r>
      <w:r w:rsidR="00E60F07" w:rsidRPr="005C3F63">
        <w:rPr>
          <w:rFonts w:ascii="Candara" w:hAnsi="Candara"/>
          <w:b/>
          <w:sz w:val="24"/>
          <w:szCs w:val="24"/>
        </w:rPr>
        <w:t xml:space="preserve"> σε όλους τους νεοδιόριστους εκπαιδευτικούς ακέραιο το δικαίωμα στην πλήρη 9μηνη άδεια ανατροφής</w:t>
      </w:r>
      <w:r w:rsidR="0094189B" w:rsidRPr="005C3F63">
        <w:rPr>
          <w:rFonts w:ascii="Candara" w:hAnsi="Candara"/>
          <w:b/>
          <w:sz w:val="24"/>
          <w:szCs w:val="24"/>
        </w:rPr>
        <w:t xml:space="preserve"> και υπολογισμό των (διδακτικών) ωρών μείωσης του ωραρίου για διάστημα τεσσάρων ετών, που ισχύει για όλους τους δημοσίους υπαλλήλους</w:t>
      </w:r>
      <w:r w:rsidR="00D676CD" w:rsidRPr="005C3F63">
        <w:rPr>
          <w:rFonts w:ascii="Candara" w:hAnsi="Candara"/>
          <w:b/>
          <w:sz w:val="24"/>
          <w:szCs w:val="24"/>
        </w:rPr>
        <w:t>,</w:t>
      </w:r>
      <w:r w:rsidR="0094189B" w:rsidRPr="005C3F63">
        <w:rPr>
          <w:rFonts w:ascii="Candara" w:hAnsi="Candara"/>
          <w:b/>
          <w:sz w:val="24"/>
          <w:szCs w:val="24"/>
        </w:rPr>
        <w:t xml:space="preserve"> και όχι δύο</w:t>
      </w:r>
      <w:r w:rsidR="001C559F" w:rsidRPr="005C3F63">
        <w:rPr>
          <w:rFonts w:ascii="Candara" w:hAnsi="Candara"/>
          <w:b/>
          <w:sz w:val="24"/>
          <w:szCs w:val="24"/>
        </w:rPr>
        <w:t>.</w:t>
      </w:r>
    </w:p>
    <w:p w:rsidR="001331C4" w:rsidRPr="001331C4" w:rsidRDefault="001331C4" w:rsidP="00E83EC4">
      <w:pPr>
        <w:ind w:firstLine="720"/>
        <w:jc w:val="both"/>
        <w:rPr>
          <w:rFonts w:ascii="Candara" w:hAnsi="Candara"/>
          <w:sz w:val="24"/>
          <w:szCs w:val="24"/>
        </w:rPr>
      </w:pPr>
      <w:r w:rsidRPr="001331C4">
        <w:rPr>
          <w:rFonts w:ascii="Candara" w:hAnsi="Candara"/>
          <w:sz w:val="24"/>
          <w:szCs w:val="24"/>
        </w:rPr>
        <w:t>Για το ζήτημα αυτό ζητάμε την άμεση πραγματοποίηση συνάντησης με την πολιτική ηγεσία του Υ.ΠΑΙ.Θ. ώστε να δοθεί δίκαιη λύση στο ζήτημα που ταλανίζει πλήθος συναδέλφων μας.</w:t>
      </w:r>
    </w:p>
    <w:p w:rsidR="00EF3E2A" w:rsidRPr="00C342BF" w:rsidRDefault="0021422F" w:rsidP="0021422F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lang w:eastAsia="el-GR"/>
        </w:rPr>
        <w:drawing>
          <wp:inline distT="0" distB="0" distL="0" distR="0">
            <wp:extent cx="4152900" cy="1609725"/>
            <wp:effectExtent l="19050" t="0" r="0" b="0"/>
            <wp:docPr id="6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img7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E2A" w:rsidRPr="00C342BF" w:rsidSect="001331C4">
      <w:pgSz w:w="11906" w:h="16838"/>
      <w:pgMar w:top="426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17F"/>
    <w:multiLevelType w:val="hybridMultilevel"/>
    <w:tmpl w:val="9D123D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A49CB"/>
    <w:multiLevelType w:val="hybridMultilevel"/>
    <w:tmpl w:val="5EC4DA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D3D"/>
    <w:rsid w:val="000E4D25"/>
    <w:rsid w:val="0010220A"/>
    <w:rsid w:val="00127673"/>
    <w:rsid w:val="001331C4"/>
    <w:rsid w:val="001C559F"/>
    <w:rsid w:val="0021422F"/>
    <w:rsid w:val="00217D4F"/>
    <w:rsid w:val="002645E2"/>
    <w:rsid w:val="002F43F0"/>
    <w:rsid w:val="004C3A8F"/>
    <w:rsid w:val="005432EA"/>
    <w:rsid w:val="00576630"/>
    <w:rsid w:val="005C3F63"/>
    <w:rsid w:val="006D64BE"/>
    <w:rsid w:val="007442AB"/>
    <w:rsid w:val="007F5212"/>
    <w:rsid w:val="00810072"/>
    <w:rsid w:val="008414CC"/>
    <w:rsid w:val="008D3BDD"/>
    <w:rsid w:val="008F7253"/>
    <w:rsid w:val="0094189B"/>
    <w:rsid w:val="00942DA2"/>
    <w:rsid w:val="009870E6"/>
    <w:rsid w:val="009B7F14"/>
    <w:rsid w:val="009D54E8"/>
    <w:rsid w:val="009E0D3D"/>
    <w:rsid w:val="009F6EA4"/>
    <w:rsid w:val="00C2018E"/>
    <w:rsid w:val="00C342BF"/>
    <w:rsid w:val="00C355A0"/>
    <w:rsid w:val="00D15FFF"/>
    <w:rsid w:val="00D57017"/>
    <w:rsid w:val="00D676CD"/>
    <w:rsid w:val="00D7436B"/>
    <w:rsid w:val="00D74950"/>
    <w:rsid w:val="00DD0A3C"/>
    <w:rsid w:val="00E5006F"/>
    <w:rsid w:val="00E60F07"/>
    <w:rsid w:val="00E83EC4"/>
    <w:rsid w:val="00EF3E2A"/>
    <w:rsid w:val="00F2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F3E2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EF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3E2A"/>
    <w:rPr>
      <w:rFonts w:ascii="Tahoma" w:hAnsi="Tahoma" w:cs="Tahoma"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D15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Links>
    <vt:vector size="12" baseType="variant"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http://www.gseferisedu.blogspot.gr/</vt:lpwstr>
      </vt:variant>
      <vt:variant>
        <vt:lpwstr/>
      </vt:variant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mailto:segseferis@gmail.com%20%20%20%20gseferis.edu@gmail.com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doe11</cp:lastModifiedBy>
  <cp:revision>2</cp:revision>
  <dcterms:created xsi:type="dcterms:W3CDTF">2020-09-18T10:44:00Z</dcterms:created>
  <dcterms:modified xsi:type="dcterms:W3CDTF">2020-09-18T10:44:00Z</dcterms:modified>
</cp:coreProperties>
</file>